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E637" w14:textId="77777777" w:rsidR="000261E6" w:rsidRPr="000261E6" w:rsidRDefault="000261E6" w:rsidP="000261E6">
      <w:pPr>
        <w:shd w:val="clear" w:color="auto" w:fill="F7F7F7"/>
        <w:bidi w:val="0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Internet and old age conference: Academic investigations and practical tools— 11.6.15</w:t>
      </w:r>
    </w:p>
    <w:p w14:paraId="2590B99A" w14:textId="77777777" w:rsidR="000261E6" w:rsidRPr="000261E6" w:rsidRDefault="000261E6" w:rsidP="000261E6">
      <w:pPr>
        <w:shd w:val="clear" w:color="auto" w:fill="F7F7F7"/>
        <w:bidi w:val="0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The conference took place at Tel Aviv University and was organized as a collaboration between the Herczeg Institute on Aging and the Orange Institute for Internet Studies at Tel Aviv University. It was a combination of academic lectures on internet and old age and a presentation of useful websites for older persons. The first lecturer was Professor Mordechai Shani, Professor of Internal Medicine and Healthcare Systems at Tel Aviv University, and a recipient of the Israel Prize in 2009, who spoke about healthy aging in Israel. The second lecturer was Professor Galit Nimrod, from the Department of Communication Studies at Ben-Gurion University of the Negev, who spoke about differences of internet activities between old and adult users, and among old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personsthemselves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. The third lecturer was Ms. Sigal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Naim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, a doctoral student at the Department of Communication Studies at Ben-Gurion University of the Negev, who spoke about Facebook activities in old age. The fourth lecturer was Ms. Rinat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Lifshitz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, a doctoral student at the Department of Communication Studies at Ben-Gurion University of the Negev, who spoke about Internet activities and well-being. The two discussants were Professor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Dov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Tee’ni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, Professor of Information Systems at Tel Aviv University School of Management and the Academic Director of the Orange Institute for Internet Studies at Tel Aviv University, and Professor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Dov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Shmotkin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, from the School of Psychological Sciences and Head of the Herczeg Institute on Aging at Tel Aviv University.</w:t>
      </w:r>
    </w:p>
    <w:p w14:paraId="3C2D18E5" w14:textId="77777777" w:rsidR="000261E6" w:rsidRPr="000261E6" w:rsidRDefault="000261E6" w:rsidP="000261E6">
      <w:pPr>
        <w:shd w:val="clear" w:color="auto" w:fill="F7F7F7"/>
        <w:bidi w:val="0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The second part of the conference included presentations of useful websites for older persons. Ms. Shani Evenstein from Wikimedia Israel opened this section by presenting the Wikipedia and Ben-Yehuda Project websites. Second was Ms. Sharon Shiloh from “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Mot’ke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” website, an Israeli website for adults over age 50. Third was Ms. Yael Shaked-Bergmann from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Milbat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, who presented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Milbat’s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new application for preventing falls among older persons. Last was Advocate Sharon 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Hornstein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from the website “</w:t>
      </w:r>
      <w:proofErr w:type="spell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Kol-Zchut</w:t>
      </w:r>
      <w:proofErr w:type="spell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,” designed to provide information about rights and entitlements in diverse social needs. The conference was guided by Mr. Eli Hacohen, Professional </w:t>
      </w:r>
      <w:proofErr w:type="gramStart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Director</w:t>
      </w:r>
      <w:proofErr w:type="gramEnd"/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and founder of the Orange Institute for Internet Studies at Tel Aviv University.</w:t>
      </w:r>
    </w:p>
    <w:p w14:paraId="2920DBC4" w14:textId="77777777" w:rsidR="000261E6" w:rsidRPr="000261E6" w:rsidRDefault="000261E6" w:rsidP="000261E6">
      <w:pPr>
        <w:shd w:val="clear" w:color="auto" w:fill="F7F7F7"/>
        <w:bidi w:val="0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6C9BA81F" w14:textId="77777777" w:rsidR="000261E6" w:rsidRPr="000261E6" w:rsidRDefault="000261E6" w:rsidP="000261E6">
      <w:pPr>
        <w:shd w:val="clear" w:color="auto" w:fill="F7F7F7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כנס בנושא האינטרנט והגיל השלישי: 11.6.15, אוניברסיטת תל-אביב</w:t>
      </w:r>
    </w:p>
    <w:p w14:paraId="2A8D96C3" w14:textId="77777777" w:rsidR="000261E6" w:rsidRPr="000261E6" w:rsidRDefault="000261E6" w:rsidP="000261E6">
      <w:pPr>
        <w:shd w:val="clear" w:color="auto" w:fill="F7F7F7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הכנס אורגן בשיתוף פעולה בין מכון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הרצג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לחקר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הזיקנה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לבין מכון אורנג' לחקר האינטרנט באוניברסיטת תל-אביב ושילב בין הרצאות אקדמאיות על אינטרנט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וזיקנה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לבין הצגת אתרי אינטרנט מועילים עבור האוכלוסייה הזקנה. המרצה הראשון בכנס היה פרופ' מרדכי שני, 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פרופ'בביתספרלרפואהבאוניברסיטת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 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תלאביב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וחתן פרס ישראל לשנת 2009, שדיבר על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הזדקנות בריאה בישראל. 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המרצה השנייה הייתה פרופ' גלית נמרוד, מהחוג לתקשורת באוניברסיטת בן גוריון שבנגב, שדיברה על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פערים דיגיטליים בקרב בני 60 ומעלה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. המרצה השלישית הייתה גב' סיגל נעים, דוקטורנטית בחוג לתקשורת באוניברסיטת בן גוריון שבנגב, שדיברה על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 xml:space="preserve">שימושי </w:t>
      </w:r>
      <w:proofErr w:type="spellStart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פייסבוק</w:t>
      </w:r>
      <w:proofErr w:type="spellEnd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 xml:space="preserve"> בגיל המאוחר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. הרצאתה של גב' רינת ליפשיץ, דוקטורנטית בחוג לתקשורת באוניברסיטת בן גוריון שבנגב, בנושא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פעילויות אינטרנט ו-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</w:rPr>
        <w:t>Well being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,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 סיימה את החלק הראשון של הכנס. שני המתדיינים באירוע היו פרופ' דב תאני, פרופ' למערכות מידע בבית הספר לניהול באוניברסיטת תל-אביב והמנהל האקדמי של מכון אורנג', ופרופ' דב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שמוטקין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פרופ' בבית הספר למדעי הפסיכולוגיה באוניברסיטת תל-אביב וראש מכון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הרצג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.</w:t>
      </w:r>
    </w:p>
    <w:p w14:paraId="14DD8717" w14:textId="77777777" w:rsidR="000261E6" w:rsidRPr="000261E6" w:rsidRDefault="000261E6" w:rsidP="000261E6">
      <w:pPr>
        <w:shd w:val="clear" w:color="auto" w:fill="F7F7F7"/>
        <w:spacing w:after="165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החלק השני של הכנס כלל הצגה של אתרי אינטרנט מועילים עבור האוכלוסייה הזקנה. פתחה את החלק הזה גב' שני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אבנשטיין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מויקימדיה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ישראל, שדיברה על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ויקיפדיה, פרויקט בן-יהודה והגיל השלישי. 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המרצה השנייה הייתה גב' שרון שילוח, מאתר ''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מוטק'ה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'', שדיברה על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 xml:space="preserve">פרופיל 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lastRenderedPageBreak/>
        <w:t>האתר ופרופיל המשתמשים באתר ''</w:t>
      </w:r>
      <w:proofErr w:type="spellStart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מוטק'ה</w:t>
      </w:r>
      <w:proofErr w:type="spellEnd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''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. המרצה השלישית הייתה גב' יעל שקד-ברגמן מעמותת "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מילבת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" לשיפור איכות החיים של בעלי מגבלה תפקודית, שהציגה את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אפליקציית </w:t>
      </w:r>
      <w:proofErr w:type="spellStart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</w:rPr>
        <w:t>Milbat</w:t>
      </w:r>
      <w:proofErr w:type="spellEnd"/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Home</w:t>
      </w:r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 המיועדת למנוע נפילות בגיל המבוגר. חתם את הערב עו"ד שרון </w:t>
      </w:r>
      <w:proofErr w:type="spellStart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>הורנשטיין</w:t>
      </w:r>
      <w:proofErr w:type="spellEnd"/>
      <w:r w:rsidRPr="000261E6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מאתר ''כל זכות'', אתר המידע על זכויות תושבי ישראל והדרך למימושן, שהציג </w:t>
      </w:r>
      <w:r w:rsidRPr="000261E6">
        <w:rPr>
          <w:rFonts w:ascii="Arial" w:eastAsia="Times New Roman" w:hAnsi="Arial" w:cs="Arial"/>
          <w:i/>
          <w:iCs/>
          <w:color w:val="333333"/>
          <w:sz w:val="23"/>
          <w:szCs w:val="23"/>
          <w:rtl/>
        </w:rPr>
        <w:t>מאגרי מידע עבור האוכלוסייה הזקנה.</w:t>
      </w:r>
    </w:p>
    <w:p w14:paraId="11944571" w14:textId="5258716D" w:rsidR="000261E6" w:rsidRPr="000261E6" w:rsidRDefault="000261E6" w:rsidP="000261E6">
      <w:pPr>
        <w:shd w:val="clear" w:color="auto" w:fill="F7F7F7"/>
        <w:bidi w:val="0"/>
        <w:spacing w:after="75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0261E6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4B4CF6A4" wp14:editId="1D4A9C3C">
            <wp:extent cx="461010" cy="461010"/>
            <wp:effectExtent l="0" t="0" r="0" b="0"/>
            <wp:docPr id="2" name="תמונה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A97E" w14:textId="362AD006" w:rsidR="000261E6" w:rsidRPr="000261E6" w:rsidRDefault="000261E6" w:rsidP="000261E6">
      <w:pPr>
        <w:shd w:val="clear" w:color="auto" w:fill="FAFAFA"/>
        <w:bidi w:val="0"/>
        <w:spacing w:after="75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0261E6">
        <w:rPr>
          <w:rFonts w:ascii="Helvetica" w:eastAsia="Times New Roman" w:hAnsi="Helvetica" w:cs="Times New Roman"/>
          <w:noProof/>
          <w:color w:val="005580"/>
          <w:sz w:val="23"/>
          <w:szCs w:val="23"/>
        </w:rPr>
        <w:drawing>
          <wp:inline distT="0" distB="0" distL="0" distR="0" wp14:anchorId="629EC413" wp14:editId="0530A4B1">
            <wp:extent cx="1901825" cy="1901825"/>
            <wp:effectExtent l="0" t="0" r="0" b="0"/>
            <wp:docPr id="1" name="תמונה 1" descr="תמונה שמכילה טקסט&#10;&#10;התיאור נוצר באופן אוטומטי">
              <a:hlinkClick xmlns:a="http://schemas.openxmlformats.org/drawingml/2006/main" r:id="rId6" tooltip="&quot;internet and the third age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>
                      <a:hlinkClick r:id="rId6" tooltip="&quot;internet and the third age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6B3F" w14:textId="77777777" w:rsidR="00590A74" w:rsidRDefault="00590A74">
      <w:pPr>
        <w:rPr>
          <w:rFonts w:hint="cs"/>
        </w:rPr>
      </w:pPr>
    </w:p>
    <w:sectPr w:rsidR="00590A74" w:rsidSect="00590A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E6"/>
    <w:rsid w:val="000261E6"/>
    <w:rsid w:val="005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BB8B"/>
  <w15:docId w15:val="{DEED5314-EA19-4585-BC98-E7568E9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261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61E6"/>
    <w:rPr>
      <w:b/>
      <w:bCs/>
    </w:rPr>
  </w:style>
  <w:style w:type="character" w:styleId="a4">
    <w:name w:val="Emphasis"/>
    <w:basedOn w:val="a0"/>
    <w:uiPriority w:val="20"/>
    <w:qFormat/>
    <w:rsid w:val="00026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1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czeg.tau.ac.il/images/phocagallery/Internet_and_old_age_conference/thumbs/phoca_thumb_l_internet%20and%20the%20third%20age.jpg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erczeg.tau.ac.il/index.php/he/gallery/phot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Osnat Ofer</dc:creator>
  <cp:keywords/>
  <dc:description/>
  <cp:lastModifiedBy>Osnat Ofer</cp:lastModifiedBy>
  <cp:revision>1</cp:revision>
  <dcterms:created xsi:type="dcterms:W3CDTF">2022-01-13T14:02:00Z</dcterms:created>
  <dcterms:modified xsi:type="dcterms:W3CDTF">2022-01-13T14:03:00Z</dcterms:modified>
</cp:coreProperties>
</file>